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5D066722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  <w:lang w:eastAsia="zh-TW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（件名）</w:t>
      </w:r>
      <w:r w:rsidR="00823995" w:rsidRPr="00823995">
        <w:rPr>
          <w:rFonts w:ascii="ＭＳ 明朝" w:hAnsi="ＭＳ 明朝" w:hint="eastAsia"/>
          <w:sz w:val="24"/>
          <w:szCs w:val="20"/>
          <w:u w:val="single"/>
          <w:lang w:eastAsia="zh-TW"/>
        </w:rPr>
        <w:t>館山自動車道　富津地区財産整理分筆登記業務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755DA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3995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56B43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2025-09-16T07:41:00Z</dcterms:modified>
</cp:coreProperties>
</file>